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A781FED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9D42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    <v:textbox style="mso-fit-shape-to-text:t">
                  <w:txbxContent>
                    <w:p w14:paraId="2C9F055C" w14:textId="2A781FED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9D42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9264" behindDoc="1" locked="0" layoutInCell="1" allowOverlap="1" wp14:anchorId="20A1E088" wp14:editId="2B649A04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397821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397821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</w:p>
    <w:p w14:paraId="69C184B7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</w:p>
    <w:p w14:paraId="400D54C5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Kontaktní osoba žadatele</w:t>
      </w:r>
    </w:p>
    <w:p w14:paraId="108BE4AA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 xml:space="preserve">Název projektu  </w:t>
      </w:r>
    </w:p>
    <w:p w14:paraId="7A4BAD31" w14:textId="082C76DC"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</w:p>
    <w:p w14:paraId="6FE4AFD4" w14:textId="0427AD46" w:rsidR="009D4239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Kontrasignující MAS</w:t>
      </w:r>
    </w:p>
    <w:p w14:paraId="28A95CD5" w14:textId="77777777" w:rsidR="00E63402" w:rsidRPr="00295EF3" w:rsidRDefault="00E63402" w:rsidP="00E63402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295EF3">
        <w:rPr>
          <w:rFonts w:ascii="Calibri" w:hAnsi="Calibri" w:cs="Calibri"/>
          <w:b/>
          <w:bCs/>
          <w:sz w:val="22"/>
          <w:szCs w:val="22"/>
        </w:rPr>
        <w:t>Místní akční skupina Hlučínsko</w:t>
      </w:r>
    </w:p>
    <w:p w14:paraId="045B2E60" w14:textId="77777777" w:rsidR="00E63402" w:rsidRPr="00295EF3" w:rsidRDefault="00E63402" w:rsidP="00E63402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295EF3">
        <w:rPr>
          <w:rFonts w:ascii="Calibri" w:hAnsi="Calibri" w:cs="Calibri"/>
          <w:sz w:val="22"/>
          <w:szCs w:val="22"/>
        </w:rPr>
        <w:t>Mírové náměstí 24/23</w:t>
      </w:r>
    </w:p>
    <w:p w14:paraId="390EC7EE" w14:textId="77777777" w:rsidR="00E63402" w:rsidRPr="00295EF3" w:rsidRDefault="00E63402" w:rsidP="00E63402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295EF3">
        <w:rPr>
          <w:rFonts w:ascii="Calibri" w:hAnsi="Calibri" w:cs="Calibri"/>
          <w:sz w:val="22"/>
          <w:szCs w:val="22"/>
        </w:rPr>
        <w:t>748 01 Hlučín</w:t>
      </w:r>
    </w:p>
    <w:p w14:paraId="0718D200" w14:textId="77777777" w:rsidR="00E63402" w:rsidRPr="00295EF3" w:rsidRDefault="00E63402" w:rsidP="00E63402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295EF3">
        <w:rPr>
          <w:rFonts w:ascii="Calibri" w:hAnsi="Calibri" w:cs="Calibri"/>
          <w:sz w:val="22"/>
          <w:szCs w:val="22"/>
        </w:rPr>
        <w:t>IČ: 27044939</w:t>
      </w:r>
    </w:p>
    <w:p w14:paraId="5E3D09FD" w14:textId="77777777" w:rsidR="00E63402" w:rsidRDefault="00E63402" w:rsidP="00E63402">
      <w:pPr>
        <w:overflowPunct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hyperlink r:id="rId9" w:history="1">
        <w:r w:rsidRPr="00C2177B">
          <w:rPr>
            <w:rStyle w:val="Hypertextovodkaz"/>
            <w:rFonts w:ascii="Calibri" w:hAnsi="Calibri" w:cs="Calibri"/>
            <w:sz w:val="22"/>
            <w:szCs w:val="22"/>
          </w:rPr>
          <w:t>http://www.mashlucinsko.cz</w:t>
        </w:r>
      </w:hyperlink>
    </w:p>
    <w:p w14:paraId="012F0B7C" w14:textId="304C9B53" w:rsidR="009D4239" w:rsidRPr="00F91393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F91393">
        <w:rPr>
          <w:rFonts w:ascii="Calibri" w:hAnsi="Calibri" w:cs="Calibri"/>
          <w:sz w:val="22"/>
          <w:szCs w:val="22"/>
        </w:rPr>
        <w:t>Statutární zástupce kontrasignující MAS</w:t>
      </w:r>
    </w:p>
    <w:p w14:paraId="05FD2EBB" w14:textId="77777777" w:rsidR="00F91393" w:rsidRPr="00F91393" w:rsidRDefault="00F91393" w:rsidP="00F91393">
      <w:pPr>
        <w:pStyle w:val="Odstavecseseznamem"/>
        <w:ind w:left="360" w:firstLine="348"/>
        <w:rPr>
          <w:rFonts w:asciiTheme="minorHAnsi" w:hAnsiTheme="minorHAnsi" w:cstheme="minorHAnsi"/>
          <w:b/>
          <w:bCs/>
        </w:rPr>
      </w:pPr>
      <w:r w:rsidRPr="00F91393">
        <w:rPr>
          <w:rFonts w:asciiTheme="minorHAnsi" w:hAnsiTheme="minorHAnsi" w:cstheme="minorHAnsi"/>
          <w:b/>
          <w:bCs/>
        </w:rPr>
        <w:t>Obec Sudice (starosta Petr Halfar)</w:t>
      </w:r>
    </w:p>
    <w:p w14:paraId="5CF67960" w14:textId="0A9058A1" w:rsidR="00F91393" w:rsidRPr="00F91393" w:rsidRDefault="00F91393" w:rsidP="00F91393">
      <w:pPr>
        <w:pStyle w:val="Odstavecseseznamem"/>
        <w:ind w:left="360" w:firstLine="348"/>
        <w:rPr>
          <w:rFonts w:asciiTheme="minorHAnsi" w:hAnsiTheme="minorHAnsi" w:cstheme="minorHAnsi"/>
        </w:rPr>
      </w:pPr>
      <w:r w:rsidRPr="00F91393">
        <w:rPr>
          <w:rFonts w:asciiTheme="minorHAnsi" w:hAnsiTheme="minorHAnsi" w:cstheme="minorHAnsi"/>
        </w:rPr>
        <w:t>Tel. 553 761</w:t>
      </w:r>
      <w:r w:rsidRPr="00F91393">
        <w:rPr>
          <w:rFonts w:asciiTheme="minorHAnsi" w:hAnsiTheme="minorHAnsi" w:cstheme="minorHAnsi"/>
        </w:rPr>
        <w:t> </w:t>
      </w:r>
      <w:r w:rsidRPr="00F91393">
        <w:rPr>
          <w:rFonts w:asciiTheme="minorHAnsi" w:hAnsiTheme="minorHAnsi" w:cstheme="minorHAnsi"/>
        </w:rPr>
        <w:t>022</w:t>
      </w:r>
    </w:p>
    <w:p w14:paraId="769B2F9D" w14:textId="77777777" w:rsidR="00F91393" w:rsidRPr="00F91393" w:rsidRDefault="00F91393" w:rsidP="00F91393">
      <w:pPr>
        <w:pStyle w:val="Odstavecseseznamem"/>
        <w:ind w:left="360" w:firstLine="348"/>
        <w:rPr>
          <w:rFonts w:asciiTheme="minorHAnsi" w:hAnsiTheme="minorHAnsi" w:cstheme="minorHAnsi"/>
        </w:rPr>
      </w:pPr>
      <w:r w:rsidRPr="00F91393">
        <w:rPr>
          <w:rFonts w:asciiTheme="minorHAnsi" w:hAnsiTheme="minorHAnsi" w:cstheme="minorHAnsi"/>
        </w:rPr>
        <w:t>E-mail: starosta@obecsudice.cz</w:t>
      </w:r>
    </w:p>
    <w:p w14:paraId="04A0E2E7" w14:textId="77777777" w:rsidR="00FF751F" w:rsidRPr="00F9139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54FE6B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312B5622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07268E16" w14:textId="77777777" w:rsidR="007434C0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0563F2C1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 w:rsidR="007434C0">
        <w:rPr>
          <w:rFonts w:ascii="Calibri" w:hAnsi="Calibri" w:cs="Calibri"/>
          <w:bCs/>
          <w:sz w:val="22"/>
          <w:szCs w:val="22"/>
        </w:rPr>
        <w:t>nebo</w:t>
      </w:r>
    </w:p>
    <w:p w14:paraId="57CA8EA8" w14:textId="77777777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lastRenderedPageBreak/>
        <w:t xml:space="preserve">e-shopu </w:t>
      </w:r>
      <w:r w:rsidR="00AE7CEF" w:rsidRPr="003A1051">
        <w:rPr>
          <w:rFonts w:ascii="Calibri" w:hAnsi="Calibri" w:cs="Calibri"/>
          <w:bCs/>
          <w:sz w:val="22"/>
          <w:szCs w:val="22"/>
        </w:rPr>
        <w:t>(</w:t>
      </w:r>
      <w:r w:rsidRPr="003A105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 w:rsidRPr="003A1051">
        <w:rPr>
          <w:rFonts w:ascii="Calibri" w:hAnsi="Calibri" w:cs="Calibri"/>
          <w:bCs/>
          <w:sz w:val="22"/>
          <w:szCs w:val="22"/>
        </w:rPr>
        <w:t> </w:t>
      </w:r>
      <w:r w:rsidRPr="003A1051">
        <w:rPr>
          <w:rFonts w:ascii="Calibri" w:hAnsi="Calibri" w:cs="Calibri"/>
          <w:bCs/>
          <w:sz w:val="22"/>
          <w:szCs w:val="22"/>
        </w:rPr>
        <w:t>výroby</w:t>
      </w:r>
      <w:r w:rsidR="00AE7CEF" w:rsidRPr="003A1051">
        <w:rPr>
          <w:rFonts w:ascii="Calibri" w:hAnsi="Calibri" w:cs="Calibri"/>
          <w:bCs/>
          <w:sz w:val="22"/>
          <w:szCs w:val="22"/>
        </w:rPr>
        <w:t>)</w:t>
      </w:r>
      <w:r w:rsidRPr="003A1051">
        <w:rPr>
          <w:rFonts w:ascii="Calibri" w:hAnsi="Calibri" w:cs="Calibri"/>
          <w:bCs/>
          <w:sz w:val="22"/>
          <w:szCs w:val="22"/>
        </w:rPr>
        <w:t xml:space="preserve">, využití </w:t>
      </w:r>
      <w:r w:rsidR="00A7650E" w:rsidRPr="003A1051">
        <w:rPr>
          <w:rFonts w:ascii="Calibri" w:hAnsi="Calibri" w:cs="Calibri"/>
          <w:bCs/>
          <w:sz w:val="22"/>
          <w:szCs w:val="22"/>
        </w:rPr>
        <w:t xml:space="preserve">služby </w:t>
      </w:r>
      <w:r w:rsidRPr="003A1051">
        <w:rPr>
          <w:rFonts w:ascii="Calibri" w:hAnsi="Calibri" w:cs="Calibri"/>
          <w:bCs/>
          <w:sz w:val="22"/>
          <w:szCs w:val="22"/>
        </w:rPr>
        <w:t xml:space="preserve">cloud </w:t>
      </w:r>
      <w:proofErr w:type="spellStart"/>
      <w:r w:rsidRPr="003A1051">
        <w:rPr>
          <w:rFonts w:ascii="Calibri" w:hAnsi="Calibri" w:cs="Calibri"/>
          <w:bCs/>
          <w:sz w:val="22"/>
          <w:szCs w:val="22"/>
        </w:rPr>
        <w:t>computing</w:t>
      </w:r>
      <w:proofErr w:type="spellEnd"/>
      <w:r w:rsidRPr="003A1051">
        <w:rPr>
          <w:rFonts w:ascii="Calibri" w:hAnsi="Calibri" w:cs="Calibri"/>
          <w:bCs/>
          <w:sz w:val="22"/>
          <w:szCs w:val="22"/>
        </w:rPr>
        <w:t>,</w:t>
      </w:r>
      <w:r w:rsidR="007434C0">
        <w:rPr>
          <w:rFonts w:ascii="Calibri" w:hAnsi="Calibri" w:cs="Calibri"/>
          <w:bCs/>
          <w:sz w:val="22"/>
          <w:szCs w:val="22"/>
        </w:rPr>
        <w:t xml:space="preserve"> anebo</w:t>
      </w:r>
    </w:p>
    <w:p w14:paraId="704652C4" w14:textId="7FD2DF39" w:rsidR="001E2583" w:rsidRPr="003A1051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3A1051">
        <w:rPr>
          <w:rFonts w:ascii="Calibri" w:hAnsi="Calibri" w:cs="Calibri"/>
          <w:bCs/>
          <w:sz w:val="22"/>
          <w:szCs w:val="22"/>
        </w:rPr>
        <w:t>.</w:t>
      </w:r>
    </w:p>
    <w:p w14:paraId="48BF806D" w14:textId="3615C2BA" w:rsidR="007434C0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Pr="003A1051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Ke každé položce cloudových/</w:t>
      </w:r>
      <w:proofErr w:type="spellStart"/>
      <w:r w:rsidRPr="003A1051">
        <w:rPr>
          <w:rFonts w:ascii="Calibri" w:hAnsi="Calibri" w:cs="Calibri"/>
          <w:bCs/>
          <w:i/>
          <w:iCs/>
          <w:sz w:val="22"/>
          <w:szCs w:val="22"/>
        </w:rPr>
        <w:t>SaaS</w:t>
      </w:r>
      <w:proofErr w:type="spellEnd"/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4DD5B998"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4784ED68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519485B3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49D9F27A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0FCE46DA" w14:textId="5499C231" w:rsidR="007434C0" w:rsidRPr="003A1051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67547" w14:textId="6EAC9CE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2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</w:t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470669AA" w:rsidR="00F13542" w:rsidRPr="00F13542" w:rsidRDefault="00FF751F" w:rsidP="00F13542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bookmarkEnd w:id="0"/>
    <w:p w14:paraId="76CF0A4E" w14:textId="19D36551"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0B21F568" w14:textId="5DB4A60B" w:rsidR="00F13542" w:rsidRPr="00825F77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sectPr w:rsidR="00F13542" w:rsidRPr="00825F77" w:rsidSect="002F569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F8205" w14:textId="77777777" w:rsidR="0037787F" w:rsidRDefault="0037787F" w:rsidP="00677FE0">
      <w:r>
        <w:separator/>
      </w:r>
    </w:p>
  </w:endnote>
  <w:endnote w:type="continuationSeparator" w:id="0">
    <w:p w14:paraId="229F05FB" w14:textId="77777777" w:rsidR="0037787F" w:rsidRDefault="0037787F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38C83" w14:textId="77777777" w:rsidR="0037787F" w:rsidRDefault="0037787F" w:rsidP="00677FE0">
      <w:r>
        <w:separator/>
      </w:r>
    </w:p>
  </w:footnote>
  <w:footnote w:type="continuationSeparator" w:id="0">
    <w:p w14:paraId="708B1CA9" w14:textId="77777777" w:rsidR="0037787F" w:rsidRDefault="0037787F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9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18"/>
  </w:num>
  <w:num w:numId="3" w16cid:durableId="1251349931">
    <w:abstractNumId w:val="15"/>
  </w:num>
  <w:num w:numId="4" w16cid:durableId="1397895117">
    <w:abstractNumId w:val="0"/>
  </w:num>
  <w:num w:numId="5" w16cid:durableId="369771669">
    <w:abstractNumId w:val="20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23"/>
  </w:num>
  <w:num w:numId="10" w16cid:durableId="1146241858">
    <w:abstractNumId w:val="17"/>
  </w:num>
  <w:num w:numId="11" w16cid:durableId="798034131">
    <w:abstractNumId w:val="9"/>
  </w:num>
  <w:num w:numId="12" w16cid:durableId="51657446">
    <w:abstractNumId w:val="26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10"/>
  </w:num>
  <w:num w:numId="17" w16cid:durableId="2136629496">
    <w:abstractNumId w:val="27"/>
  </w:num>
  <w:num w:numId="18" w16cid:durableId="1002973220">
    <w:abstractNumId w:val="28"/>
  </w:num>
  <w:num w:numId="19" w16cid:durableId="724447318">
    <w:abstractNumId w:val="13"/>
  </w:num>
  <w:num w:numId="20" w16cid:durableId="1055667194">
    <w:abstractNumId w:val="24"/>
  </w:num>
  <w:num w:numId="21" w16cid:durableId="697972632">
    <w:abstractNumId w:val="12"/>
  </w:num>
  <w:num w:numId="22" w16cid:durableId="1465999268">
    <w:abstractNumId w:val="14"/>
  </w:num>
  <w:num w:numId="23" w16cid:durableId="885414038">
    <w:abstractNumId w:val="11"/>
  </w:num>
  <w:num w:numId="24" w16cid:durableId="276134088">
    <w:abstractNumId w:val="16"/>
  </w:num>
  <w:num w:numId="25" w16cid:durableId="1725912294">
    <w:abstractNumId w:val="8"/>
  </w:num>
  <w:num w:numId="26" w16cid:durableId="1402679157">
    <w:abstractNumId w:val="25"/>
  </w:num>
  <w:num w:numId="27" w16cid:durableId="1598562088">
    <w:abstractNumId w:val="22"/>
  </w:num>
  <w:num w:numId="28" w16cid:durableId="193160464">
    <w:abstractNumId w:val="19"/>
  </w:num>
  <w:num w:numId="29" w16cid:durableId="174478849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8051B"/>
    <w:rsid w:val="001B1E4A"/>
    <w:rsid w:val="001B2294"/>
    <w:rsid w:val="001D27C0"/>
    <w:rsid w:val="001E14B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E2442"/>
    <w:rsid w:val="002F0E8C"/>
    <w:rsid w:val="002F569F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7787F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6FB9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2276"/>
    <w:rsid w:val="00582434"/>
    <w:rsid w:val="005C2560"/>
    <w:rsid w:val="005E2486"/>
    <w:rsid w:val="005E4D49"/>
    <w:rsid w:val="005F7585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67C67"/>
    <w:rsid w:val="0079342A"/>
    <w:rsid w:val="007B375A"/>
    <w:rsid w:val="007B4949"/>
    <w:rsid w:val="007F0BC6"/>
    <w:rsid w:val="00825F77"/>
    <w:rsid w:val="00831374"/>
    <w:rsid w:val="00831D0F"/>
    <w:rsid w:val="008326AB"/>
    <w:rsid w:val="00857580"/>
    <w:rsid w:val="00861F03"/>
    <w:rsid w:val="00865238"/>
    <w:rsid w:val="008667BF"/>
    <w:rsid w:val="008734B6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B2F4D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51C91"/>
    <w:rsid w:val="00E63402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3DC0"/>
    <w:rsid w:val="00F0689D"/>
    <w:rsid w:val="00F10452"/>
    <w:rsid w:val="00F13542"/>
    <w:rsid w:val="00F206BD"/>
    <w:rsid w:val="00F64552"/>
    <w:rsid w:val="00F82392"/>
    <w:rsid w:val="00F91393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hlucinsk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802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MAS Hlučínsko</cp:lastModifiedBy>
  <cp:revision>2</cp:revision>
  <cp:lastPrinted>2023-03-30T13:34:00Z</cp:lastPrinted>
  <dcterms:created xsi:type="dcterms:W3CDTF">2024-10-03T09:46:00Z</dcterms:created>
  <dcterms:modified xsi:type="dcterms:W3CDTF">2024-10-03T09:46:00Z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